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B37D6A2" w:rsidR="00F92268" w:rsidRPr="002D723B" w:rsidRDefault="00471B7C" w:rsidP="00F246C7">
            <w:pPr>
              <w:pStyle w:val="RefTableHeader"/>
            </w:pPr>
            <w:r>
              <w:t>3147</w:t>
            </w:r>
            <w:r w:rsidR="00967D31" w:rsidRPr="002D723B">
              <w:t>-</w:t>
            </w:r>
            <w:r w:rsidR="00002A02">
              <w:t>A</w:t>
            </w:r>
          </w:p>
        </w:tc>
      </w:tr>
    </w:tbl>
    <w:p w14:paraId="74FBA5B4" w14:textId="77777777" w:rsidR="002D723B" w:rsidRDefault="002D723B" w:rsidP="002D723B">
      <w:pPr>
        <w:pStyle w:val="BodyText"/>
        <w:spacing w:after="0"/>
        <w:rPr>
          <w:b/>
          <w:bCs/>
          <w:sz w:val="16"/>
          <w:szCs w:val="16"/>
        </w:rPr>
        <w:sectPr w:rsidR="002D723B" w:rsidSect="004D6C3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74DDE95C" w14:textId="77777777" w:rsidR="003112EA" w:rsidRPr="00041200" w:rsidRDefault="00B61A8B" w:rsidP="003112EA">
      <w:pPr>
        <w:pStyle w:val="Heading1"/>
      </w:pPr>
      <w:r w:rsidRPr="002D723B">
        <w:rPr>
          <w:lang w:val="pt-BR"/>
        </w:rPr>
        <w:t xml:space="preserve">Specialty </w:t>
      </w:r>
      <w:r w:rsidR="0024395C">
        <w:rPr>
          <w:lang w:val="pt-BR"/>
        </w:rPr>
        <w:t>Guideline Management</w:t>
      </w:r>
      <w:r w:rsidR="008C54D9" w:rsidRPr="002D723B">
        <w:rPr>
          <w:lang w:val="pt-BR"/>
        </w:rPr>
        <w:br/>
      </w:r>
      <w:r w:rsidR="003112EA" w:rsidRPr="007B0CA6">
        <w:t>Nubeqa</w:t>
      </w:r>
    </w:p>
    <w:p w14:paraId="004E6F61" w14:textId="77777777" w:rsidR="003112EA" w:rsidRPr="00BD1CC1" w:rsidRDefault="003112EA" w:rsidP="003112EA">
      <w:pPr>
        <w:pStyle w:val="Heading2"/>
      </w:pPr>
      <w:r w:rsidRPr="00BD1CC1">
        <w:t>Products Referenced by this Document</w:t>
      </w:r>
    </w:p>
    <w:p w14:paraId="5C138094" w14:textId="77777777" w:rsidR="003112EA" w:rsidRDefault="003112EA" w:rsidP="003112EA">
      <w:pPr>
        <w:pStyle w:val="BodyText"/>
      </w:pPr>
      <w:r w:rsidRPr="00BD1CC1">
        <w:t xml:space="preserve">Drugs that are listed in the following table include both brand and generic and all dosage forms and strengths unless otherwise stated. </w:t>
      </w:r>
      <w:r w:rsidRPr="00B00FA1">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80"/>
        <w:gridCol w:w="5580"/>
      </w:tblGrid>
      <w:tr w:rsidR="003112EA" w:rsidRPr="00BD1CC1" w14:paraId="5A9BA075" w14:textId="77777777" w:rsidTr="0016554D">
        <w:trPr>
          <w:cantSplit/>
          <w:trHeight w:val="288"/>
          <w:tblHeader/>
        </w:trPr>
        <w:tc>
          <w:tcPr>
            <w:tcW w:w="5280" w:type="dxa"/>
            <w:vAlign w:val="center"/>
          </w:tcPr>
          <w:p w14:paraId="73388B46" w14:textId="77777777" w:rsidR="003112EA" w:rsidRPr="00BD1CC1" w:rsidRDefault="003112EA" w:rsidP="00750956">
            <w:pPr>
              <w:pStyle w:val="TableHeader"/>
              <w:spacing w:after="0"/>
            </w:pPr>
            <w:r w:rsidRPr="00BD1CC1">
              <w:t>Brand Name</w:t>
            </w:r>
          </w:p>
        </w:tc>
        <w:tc>
          <w:tcPr>
            <w:tcW w:w="5580" w:type="dxa"/>
            <w:vAlign w:val="center"/>
          </w:tcPr>
          <w:p w14:paraId="5B43FF07" w14:textId="77777777" w:rsidR="003112EA" w:rsidRPr="00BD1CC1" w:rsidRDefault="003112EA" w:rsidP="00750956">
            <w:pPr>
              <w:pStyle w:val="TableHeader"/>
              <w:spacing w:after="0"/>
            </w:pPr>
            <w:r w:rsidRPr="00BD1CC1">
              <w:t>Generic Name</w:t>
            </w:r>
          </w:p>
        </w:tc>
      </w:tr>
      <w:tr w:rsidR="003112EA" w:rsidRPr="00BD1CC1" w14:paraId="6A21F8F7" w14:textId="77777777" w:rsidTr="0016554D">
        <w:trPr>
          <w:cantSplit/>
        </w:trPr>
        <w:tc>
          <w:tcPr>
            <w:tcW w:w="5280" w:type="dxa"/>
          </w:tcPr>
          <w:p w14:paraId="1F679E71" w14:textId="77777777" w:rsidR="003112EA" w:rsidRPr="00BD1CC1" w:rsidRDefault="003112EA" w:rsidP="00750956">
            <w:pPr>
              <w:pStyle w:val="TableDataUnpadded"/>
            </w:pPr>
            <w:r w:rsidRPr="007B0CA6">
              <w:t>Nubeqa</w:t>
            </w:r>
          </w:p>
        </w:tc>
        <w:tc>
          <w:tcPr>
            <w:tcW w:w="5580" w:type="dxa"/>
          </w:tcPr>
          <w:p w14:paraId="65362B24" w14:textId="77777777" w:rsidR="003112EA" w:rsidRPr="00BD1CC1" w:rsidRDefault="003112EA" w:rsidP="00750956">
            <w:pPr>
              <w:pStyle w:val="TableDataUnpadded"/>
            </w:pPr>
            <w:r w:rsidRPr="007B0CA6">
              <w:t>darolutamide</w:t>
            </w:r>
          </w:p>
        </w:tc>
      </w:tr>
    </w:tbl>
    <w:p w14:paraId="3459035B" w14:textId="77777777" w:rsidR="003112EA" w:rsidRDefault="003112EA" w:rsidP="003112EA">
      <w:pPr>
        <w:pStyle w:val="Heading2"/>
        <w:tabs>
          <w:tab w:val="left" w:pos="9540"/>
        </w:tabs>
      </w:pPr>
      <w:r>
        <w:t>Indications</w:t>
      </w:r>
    </w:p>
    <w:p w14:paraId="55E29BEA" w14:textId="77777777" w:rsidR="003112EA" w:rsidRPr="007B0CA6" w:rsidRDefault="003112EA" w:rsidP="003112EA">
      <w:pPr>
        <w:pStyle w:val="BodyText"/>
      </w:pPr>
      <w:r w:rsidRPr="007B0CA6">
        <w:t>The indications below including FDA-approved indications and compendial uses are considered a covered benefit provided that all the approval criteria are met and the member has no exclusions to the prescribed therapy.</w:t>
      </w:r>
    </w:p>
    <w:p w14:paraId="71844263" w14:textId="77777777" w:rsidR="003112EA" w:rsidRPr="00BD1CC1" w:rsidRDefault="003112EA" w:rsidP="003112EA">
      <w:pPr>
        <w:pStyle w:val="Heading3"/>
        <w:keepNext w:val="0"/>
      </w:pPr>
      <w:r w:rsidRPr="00BD1CC1">
        <w:t>FDA-approved Indications</w:t>
      </w:r>
      <w:r w:rsidRPr="007B0CA6">
        <w:rPr>
          <w:vertAlign w:val="superscript"/>
        </w:rPr>
        <w:t>1</w:t>
      </w:r>
    </w:p>
    <w:p w14:paraId="7CFA985B" w14:textId="77777777" w:rsidR="00EC318C" w:rsidRDefault="003112EA" w:rsidP="00EC318C">
      <w:r w:rsidRPr="00516CD6">
        <w:t>Nubeqa is indicated for the treatment of adult patients with</w:t>
      </w:r>
      <w:r w:rsidR="00EC318C">
        <w:t>:</w:t>
      </w:r>
    </w:p>
    <w:p w14:paraId="79F3BCC2" w14:textId="5CBEC628" w:rsidR="003112EA" w:rsidRPr="00516CD6" w:rsidRDefault="003112EA" w:rsidP="008A70E9">
      <w:pPr>
        <w:pStyle w:val="ListParagraph"/>
        <w:numPr>
          <w:ilvl w:val="3"/>
          <w:numId w:val="40"/>
        </w:numPr>
        <w:ind w:left="720"/>
      </w:pPr>
      <w:r w:rsidRPr="00516CD6">
        <w:t>non-metastatic castration-resistant prostate cancer (</w:t>
      </w:r>
      <w:proofErr w:type="spellStart"/>
      <w:r w:rsidRPr="00516CD6">
        <w:t>nmCRPC</w:t>
      </w:r>
      <w:proofErr w:type="spellEnd"/>
      <w:r w:rsidRPr="00516CD6">
        <w:t>)</w:t>
      </w:r>
    </w:p>
    <w:p w14:paraId="0EDF72B2" w14:textId="28146C7D" w:rsidR="00D82E31" w:rsidRDefault="00C72533" w:rsidP="003112EA">
      <w:pPr>
        <w:pStyle w:val="ListParagraph"/>
        <w:numPr>
          <w:ilvl w:val="0"/>
          <w:numId w:val="40"/>
        </w:numPr>
      </w:pPr>
      <w:r w:rsidRPr="00516CD6">
        <w:t xml:space="preserve">metastatic </w:t>
      </w:r>
      <w:r>
        <w:t>castration</w:t>
      </w:r>
      <w:r w:rsidRPr="00516CD6">
        <w:t>-sensitive prostate cancer (</w:t>
      </w:r>
      <w:proofErr w:type="spellStart"/>
      <w:r w:rsidRPr="00516CD6">
        <w:t>m</w:t>
      </w:r>
      <w:r>
        <w:t>C</w:t>
      </w:r>
      <w:r w:rsidRPr="00516CD6">
        <w:t>SPC</w:t>
      </w:r>
      <w:proofErr w:type="spellEnd"/>
      <w:r w:rsidRPr="00516CD6">
        <w:t>)</w:t>
      </w:r>
    </w:p>
    <w:p w14:paraId="169D54CB" w14:textId="6D8BF225" w:rsidR="003112EA" w:rsidRPr="00516CD6" w:rsidRDefault="003112EA" w:rsidP="003112EA">
      <w:pPr>
        <w:pStyle w:val="ListParagraph"/>
        <w:numPr>
          <w:ilvl w:val="0"/>
          <w:numId w:val="40"/>
        </w:numPr>
      </w:pPr>
      <w:r w:rsidRPr="00516CD6">
        <w:t xml:space="preserve">metastatic </w:t>
      </w:r>
      <w:r w:rsidR="00D82E31">
        <w:t>castration</w:t>
      </w:r>
      <w:r w:rsidRPr="00516CD6">
        <w:t>-sensitive prostate cancer (</w:t>
      </w:r>
      <w:proofErr w:type="spellStart"/>
      <w:r w:rsidRPr="00516CD6">
        <w:t>m</w:t>
      </w:r>
      <w:r w:rsidR="00C72533">
        <w:t>C</w:t>
      </w:r>
      <w:r w:rsidRPr="00516CD6">
        <w:t>SPC</w:t>
      </w:r>
      <w:proofErr w:type="spellEnd"/>
      <w:r w:rsidRPr="00516CD6">
        <w:t>) in combination with docetaxel</w:t>
      </w:r>
    </w:p>
    <w:p w14:paraId="2CCA9C08" w14:textId="77777777" w:rsidR="003112EA" w:rsidRPr="00100B91" w:rsidRDefault="003112EA" w:rsidP="003112EA">
      <w:pPr>
        <w:pStyle w:val="Heading3"/>
      </w:pPr>
      <w:r>
        <w:t>Compendial Uses</w:t>
      </w:r>
      <w:r w:rsidRPr="007B0CA6">
        <w:rPr>
          <w:vertAlign w:val="superscript"/>
        </w:rPr>
        <w:t>2</w:t>
      </w:r>
    </w:p>
    <w:p w14:paraId="73D09FCB" w14:textId="77777777" w:rsidR="003112EA" w:rsidRPr="007B0CA6" w:rsidRDefault="003112EA" w:rsidP="003112EA">
      <w:pPr>
        <w:pStyle w:val="BodyText"/>
        <w:rPr>
          <w:color w:val="222222"/>
        </w:rPr>
      </w:pPr>
      <w:r w:rsidRPr="007B0CA6">
        <w:rPr>
          <w:color w:val="222222"/>
        </w:rPr>
        <w:t>Prostate Cancer</w:t>
      </w:r>
    </w:p>
    <w:p w14:paraId="258F1420" w14:textId="77777777" w:rsidR="003112EA" w:rsidRPr="00BD1CC1" w:rsidRDefault="003112EA" w:rsidP="003112EA">
      <w:pPr>
        <w:pStyle w:val="BodyText"/>
        <w:rPr>
          <w:rFonts w:eastAsia="Arial"/>
        </w:rPr>
      </w:pPr>
      <w:r w:rsidRPr="007B0CA6">
        <w:rPr>
          <w:color w:val="222222"/>
        </w:rPr>
        <w:t>All other indications are considered experimental/investigational and not medically necessary.</w:t>
      </w:r>
    </w:p>
    <w:p w14:paraId="7D03E052" w14:textId="77777777" w:rsidR="003112EA" w:rsidRPr="00AA1E6A" w:rsidRDefault="003112EA" w:rsidP="003112EA">
      <w:pPr>
        <w:pStyle w:val="Heading2"/>
        <w:keepNext w:val="0"/>
        <w:widowControl w:val="0"/>
      </w:pPr>
      <w:r w:rsidRPr="00BD1CC1">
        <w:t>Exclusions</w:t>
      </w:r>
    </w:p>
    <w:p w14:paraId="18C19BAF" w14:textId="77777777" w:rsidR="003112EA" w:rsidRPr="00BD1CC1" w:rsidRDefault="003112EA" w:rsidP="003112EA">
      <w:pPr>
        <w:pStyle w:val="BodyText"/>
        <w:widowControl w:val="0"/>
      </w:pPr>
      <w:r w:rsidRPr="007B0CA6">
        <w:lastRenderedPageBreak/>
        <w:t>Coverage will not be provided if the requested medication is used in combination with a second-generation oral anti-androgen (e.g., apalutamide [Erleada]) or an oral androgen metabolism inhibitor (e.g., abiraterone acetate [Zytiga]).</w:t>
      </w:r>
    </w:p>
    <w:p w14:paraId="567E3FA5" w14:textId="77777777" w:rsidR="003112EA" w:rsidRPr="003877C5" w:rsidRDefault="003112EA" w:rsidP="003112EA">
      <w:pPr>
        <w:pStyle w:val="Heading2"/>
      </w:pPr>
      <w:r w:rsidRPr="003877C5">
        <w:t>Coverage Criteria</w:t>
      </w:r>
    </w:p>
    <w:p w14:paraId="445C8A30" w14:textId="77777777" w:rsidR="003112EA" w:rsidRPr="003877C5" w:rsidRDefault="003112EA" w:rsidP="003112EA">
      <w:pPr>
        <w:pStyle w:val="Heading3"/>
      </w:pPr>
      <w:r w:rsidRPr="003877C5">
        <w:t>Prostate Cancer</w:t>
      </w:r>
      <w:r w:rsidRPr="003877C5">
        <w:rPr>
          <w:vertAlign w:val="superscript"/>
        </w:rPr>
        <w:t>1,2</w:t>
      </w:r>
    </w:p>
    <w:p w14:paraId="2D2E26D6" w14:textId="77777777" w:rsidR="003112EA" w:rsidRPr="007B0CA6" w:rsidRDefault="003112EA" w:rsidP="003112EA">
      <w:pPr>
        <w:pStyle w:val="BodyText"/>
      </w:pPr>
      <w:r w:rsidRPr="007B0CA6">
        <w:t>Authorization of 12 months may be granted when either of the following criteria are met:</w:t>
      </w:r>
    </w:p>
    <w:p w14:paraId="5E949996" w14:textId="77777777" w:rsidR="003112EA" w:rsidRPr="00503023" w:rsidRDefault="003112EA" w:rsidP="003112EA">
      <w:pPr>
        <w:pStyle w:val="ListParagraph"/>
        <w:numPr>
          <w:ilvl w:val="0"/>
          <w:numId w:val="41"/>
        </w:numPr>
      </w:pPr>
      <w:r w:rsidRPr="00503023">
        <w:t xml:space="preserve">The member has non-metastatic castration-resistant prostate cancer and the member has had a bilateral orchiectomy or will be using the requested medication in combination with a </w:t>
      </w:r>
      <w:r>
        <w:t xml:space="preserve">luteinizing hormone-releasing hormone (LHRH) agonist (e.g., goserelin, leuprolide) or antagonist (e.g., </w:t>
      </w:r>
      <w:r w:rsidRPr="00503023">
        <w:t>degarelix</w:t>
      </w:r>
      <w:r>
        <w:t>, relugolix)</w:t>
      </w:r>
      <w:r w:rsidRPr="00503023">
        <w:t>.</w:t>
      </w:r>
    </w:p>
    <w:p w14:paraId="05D4F207" w14:textId="77777777" w:rsidR="003112EA" w:rsidRPr="00503023" w:rsidRDefault="003112EA" w:rsidP="003112EA">
      <w:pPr>
        <w:pStyle w:val="ListParagraph"/>
        <w:numPr>
          <w:ilvl w:val="0"/>
          <w:numId w:val="41"/>
        </w:numPr>
      </w:pPr>
      <w:r w:rsidRPr="00503023">
        <w:t xml:space="preserve">The member has metastatic </w:t>
      </w:r>
      <w:r>
        <w:t>castration</w:t>
      </w:r>
      <w:r w:rsidRPr="00503023">
        <w:t>-sensitive prostate cancer and meets both of the following criteria:</w:t>
      </w:r>
    </w:p>
    <w:p w14:paraId="5555A48C" w14:textId="2A8AAE97" w:rsidR="003112EA" w:rsidRPr="007B0CA6" w:rsidRDefault="003112EA" w:rsidP="003112EA">
      <w:pPr>
        <w:pStyle w:val="ListParagraph"/>
        <w:numPr>
          <w:ilvl w:val="1"/>
          <w:numId w:val="21"/>
        </w:numPr>
      </w:pPr>
      <w:r w:rsidRPr="007B0CA6">
        <w:t>The</w:t>
      </w:r>
      <w:r w:rsidR="00C01AB3">
        <w:t xml:space="preserve"> member </w:t>
      </w:r>
      <w:r w:rsidR="003432CF">
        <w:t>has high-volume synchronous or metachronous metastases and</w:t>
      </w:r>
      <w:r w:rsidRPr="007B0CA6">
        <w:t xml:space="preserve"> requested </w:t>
      </w:r>
      <w:r>
        <w:t>medication</w:t>
      </w:r>
      <w:r w:rsidRPr="007B0CA6">
        <w:t xml:space="preserve"> will be used in combination with </w:t>
      </w:r>
      <w:r w:rsidR="00A35354">
        <w:t xml:space="preserve">or without </w:t>
      </w:r>
      <w:r w:rsidRPr="007B0CA6">
        <w:t>docetaxel</w:t>
      </w:r>
    </w:p>
    <w:p w14:paraId="51967CEE" w14:textId="77777777" w:rsidR="003112EA" w:rsidRDefault="003112EA" w:rsidP="003112EA">
      <w:pPr>
        <w:pStyle w:val="ListParagraph"/>
        <w:numPr>
          <w:ilvl w:val="1"/>
          <w:numId w:val="21"/>
        </w:numPr>
      </w:pPr>
      <w:r w:rsidRPr="007B0CA6">
        <w:t xml:space="preserve">The member has had a bilateral orchiectomy or will be using the requested medication in combination with a </w:t>
      </w:r>
      <w:r>
        <w:t>LHRH</w:t>
      </w:r>
      <w:r w:rsidRPr="007B0CA6">
        <w:t xml:space="preserve"> agonist or</w:t>
      </w:r>
      <w:r>
        <w:t xml:space="preserve"> antagonist</w:t>
      </w:r>
      <w:r w:rsidRPr="007B0CA6">
        <w:t>.</w:t>
      </w:r>
    </w:p>
    <w:p w14:paraId="154389C9" w14:textId="77777777" w:rsidR="003112EA" w:rsidRPr="003877C5" w:rsidRDefault="003112EA" w:rsidP="003112EA">
      <w:pPr>
        <w:pStyle w:val="Heading2"/>
      </w:pPr>
      <w:r w:rsidRPr="003877C5">
        <w:t>Continuation of Therapy</w:t>
      </w:r>
    </w:p>
    <w:p w14:paraId="5B0996E5" w14:textId="77777777" w:rsidR="003112EA" w:rsidRPr="003D46B0" w:rsidRDefault="003112EA" w:rsidP="003112EA">
      <w:pPr>
        <w:pStyle w:val="BodyText"/>
      </w:pPr>
      <w:r w:rsidRPr="007B0CA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9EEB5D9" w14:textId="77777777" w:rsidR="003112EA" w:rsidRPr="003877C5" w:rsidRDefault="003112EA" w:rsidP="003112EA">
      <w:pPr>
        <w:pStyle w:val="Heading2"/>
      </w:pPr>
      <w:r w:rsidRPr="003877C5">
        <w:t>References</w:t>
      </w:r>
    </w:p>
    <w:p w14:paraId="75C2F376" w14:textId="124BC112" w:rsidR="003112EA" w:rsidRDefault="003112EA" w:rsidP="003112EA">
      <w:pPr>
        <w:pStyle w:val="ReferenceOrdered"/>
      </w:pPr>
      <w:r>
        <w:t xml:space="preserve">Nubeqa [package insert]. Whippany, NJ: Bayer Healthcare Pharmaceuticals Inc.; </w:t>
      </w:r>
      <w:r w:rsidR="001F2E6E">
        <w:t xml:space="preserve">June </w:t>
      </w:r>
      <w:r>
        <w:t>202</w:t>
      </w:r>
      <w:r w:rsidR="001F2E6E">
        <w:t>5</w:t>
      </w:r>
      <w:r>
        <w:t>.</w:t>
      </w:r>
    </w:p>
    <w:p w14:paraId="47E1A10C" w14:textId="6A8240D3" w:rsidR="00C44990" w:rsidRPr="00BC41D0" w:rsidRDefault="003112EA" w:rsidP="003112EA">
      <w:pPr>
        <w:pStyle w:val="ReferenceOrdered"/>
      </w:pPr>
      <w:r>
        <w:t>The NCCN Drugs &amp; Biologics Compendium™ © 202</w:t>
      </w:r>
      <w:r w:rsidR="0026074B">
        <w:t>5</w:t>
      </w:r>
      <w:r>
        <w:t xml:space="preserve"> National Comprehensive Cancer Network, Inc. https://www.nccn.org  Accessed </w:t>
      </w:r>
      <w:r w:rsidR="0026074B">
        <w:t>May 12</w:t>
      </w:r>
      <w:r>
        <w:t>, 202</w:t>
      </w:r>
      <w:r w:rsidR="0026074B">
        <w:t>5</w:t>
      </w:r>
      <w:r>
        <w:t>.</w:t>
      </w:r>
    </w:p>
    <w:sectPr w:rsidR="00C44990" w:rsidRPr="00BC41D0" w:rsidSect="00474E9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9FB99" w14:textId="77777777" w:rsidR="00951ADB" w:rsidRDefault="00951ADB">
      <w:r>
        <w:separator/>
      </w:r>
    </w:p>
  </w:endnote>
  <w:endnote w:type="continuationSeparator" w:id="0">
    <w:p w14:paraId="08462C1A" w14:textId="77777777" w:rsidR="00951ADB" w:rsidRDefault="00951ADB">
      <w:r>
        <w:continuationSeparator/>
      </w:r>
    </w:p>
  </w:endnote>
  <w:endnote w:type="continuationNotice" w:id="1">
    <w:p w14:paraId="080B7708" w14:textId="77777777" w:rsidR="00951ADB" w:rsidRDefault="00951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51C4A1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413F7" w:rsidRPr="00F413F7">
      <w:rPr>
        <w:rFonts w:cs="Arial"/>
        <w:noProof/>
        <w:sz w:val="16"/>
        <w:szCs w:val="16"/>
      </w:rPr>
      <w:t>Nubeqa</w:t>
    </w:r>
    <w:r w:rsidR="00F413F7">
      <w:rPr>
        <w:rFonts w:cs="Arial"/>
        <w:noProof/>
        <w:snapToGrid w:val="0"/>
        <w:color w:val="000000"/>
        <w:sz w:val="16"/>
        <w:szCs w:val="16"/>
      </w:rPr>
      <w:t xml:space="preserve"> SGM 3147-A</w:t>
    </w:r>
    <w:r w:rsidR="00F413F7" w:rsidRPr="00F413F7">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764F8">
      <w:rPr>
        <w:rFonts w:cs="Arial"/>
        <w:snapToGrid w:val="0"/>
        <w:color w:val="000000"/>
        <w:sz w:val="16"/>
      </w:rPr>
      <w:t>5</w:t>
    </w:r>
    <w:r w:rsidRPr="00EC47B6">
      <w:rPr>
        <w:rFonts w:cs="Arial"/>
        <w:snapToGrid w:val="0"/>
        <w:color w:val="000000"/>
        <w:sz w:val="16"/>
      </w:rPr>
      <w:t xml:space="preserve"> 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7E2E31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413F7" w:rsidRPr="00F413F7">
      <w:rPr>
        <w:rFonts w:cs="Arial"/>
        <w:noProof/>
        <w:sz w:val="16"/>
        <w:szCs w:val="16"/>
      </w:rPr>
      <w:t>Nubeqa</w:t>
    </w:r>
    <w:r w:rsidR="00F413F7">
      <w:rPr>
        <w:rFonts w:cs="Arial"/>
        <w:noProof/>
        <w:snapToGrid w:val="0"/>
        <w:color w:val="000000"/>
        <w:sz w:val="16"/>
        <w:szCs w:val="16"/>
      </w:rPr>
      <w:t xml:space="preserve"> SGM 3147-A</w:t>
    </w:r>
    <w:r w:rsidR="00F413F7" w:rsidRPr="00F413F7">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764F8">
      <w:rPr>
        <w:rFonts w:cs="Arial"/>
        <w:snapToGrid w:val="0"/>
        <w:color w:val="000000"/>
        <w:sz w:val="16"/>
      </w:rPr>
      <w:t>5</w:t>
    </w:r>
    <w:r w:rsidRPr="00EC47B6">
      <w:rPr>
        <w:rFonts w:cs="Arial"/>
        <w:snapToGrid w:val="0"/>
        <w:color w:val="000000"/>
        <w:sz w:val="16"/>
      </w:rPr>
      <w:t xml:space="preserve"> 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45CFE" w14:textId="77777777" w:rsidR="00951ADB" w:rsidRDefault="00951ADB">
      <w:r>
        <w:separator/>
      </w:r>
    </w:p>
  </w:footnote>
  <w:footnote w:type="continuationSeparator" w:id="0">
    <w:p w14:paraId="43F66607" w14:textId="77777777" w:rsidR="00951ADB" w:rsidRDefault="00951ADB">
      <w:r>
        <w:continuationSeparator/>
      </w:r>
    </w:p>
  </w:footnote>
  <w:footnote w:type="continuationNotice" w:id="1">
    <w:p w14:paraId="5CF69D75" w14:textId="77777777" w:rsidR="00951ADB" w:rsidRDefault="00951A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322F33E4" w:rsidR="002B608C" w:rsidRPr="006427E4" w:rsidRDefault="00471B7C" w:rsidP="00ED04EC">
          <w:pPr>
            <w:pStyle w:val="Header"/>
            <w:rPr>
              <w:rFonts w:cs="Arial"/>
              <w:sz w:val="16"/>
              <w:szCs w:val="16"/>
            </w:rPr>
          </w:pPr>
          <w:r>
            <w:rPr>
              <w:rFonts w:cs="Arial"/>
              <w:sz w:val="16"/>
              <w:szCs w:val="16"/>
            </w:rPr>
            <w:t>3147</w:t>
          </w:r>
          <w:r w:rsidR="002B608C" w:rsidRPr="006427E4">
            <w:rPr>
              <w:rFonts w:cs="Arial"/>
              <w:sz w:val="16"/>
              <w:szCs w:val="16"/>
            </w:rPr>
            <w:t>-</w:t>
          </w:r>
          <w:r w:rsidR="00002A02">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B61BC4"/>
    <w:multiLevelType w:val="hybridMultilevel"/>
    <w:tmpl w:val="73A87754"/>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F40640"/>
    <w:multiLevelType w:val="hybridMultilevel"/>
    <w:tmpl w:val="0D200184"/>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3"/>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2"/>
  </w:num>
  <w:num w:numId="17" w16cid:durableId="2128498676">
    <w:abstractNumId w:val="37"/>
  </w:num>
  <w:num w:numId="18" w16cid:durableId="299724409">
    <w:abstractNumId w:val="26"/>
  </w:num>
  <w:num w:numId="19" w16cid:durableId="214585573">
    <w:abstractNumId w:val="15"/>
  </w:num>
  <w:num w:numId="20" w16cid:durableId="1289816170">
    <w:abstractNumId w:val="17"/>
  </w:num>
  <w:num w:numId="21" w16cid:durableId="1066490929">
    <w:abstractNumId w:val="38"/>
  </w:num>
  <w:num w:numId="22" w16cid:durableId="1472481103">
    <w:abstractNumId w:val="28"/>
  </w:num>
  <w:num w:numId="23" w16cid:durableId="1997420403">
    <w:abstractNumId w:val="34"/>
  </w:num>
  <w:num w:numId="24" w16cid:durableId="33312838">
    <w:abstractNumId w:val="27"/>
  </w:num>
  <w:num w:numId="25" w16cid:durableId="507404939">
    <w:abstractNumId w:val="21"/>
  </w:num>
  <w:num w:numId="26" w16cid:durableId="1199008779">
    <w:abstractNumId w:val="16"/>
  </w:num>
  <w:num w:numId="27" w16cid:durableId="313687096">
    <w:abstractNumId w:val="23"/>
  </w:num>
  <w:num w:numId="28" w16cid:durableId="235746884">
    <w:abstractNumId w:val="11"/>
  </w:num>
  <w:num w:numId="29" w16cid:durableId="685014010">
    <w:abstractNumId w:val="24"/>
  </w:num>
  <w:num w:numId="30" w16cid:durableId="879166249">
    <w:abstractNumId w:val="32"/>
  </w:num>
  <w:num w:numId="31" w16cid:durableId="1243566383">
    <w:abstractNumId w:val="29"/>
  </w:num>
  <w:num w:numId="32" w16cid:durableId="1658726212">
    <w:abstractNumId w:val="19"/>
  </w:num>
  <w:num w:numId="33" w16cid:durableId="345324521">
    <w:abstractNumId w:val="31"/>
  </w:num>
  <w:num w:numId="34" w16cid:durableId="845704041">
    <w:abstractNumId w:val="30"/>
  </w:num>
  <w:num w:numId="35" w16cid:durableId="1879706093">
    <w:abstractNumId w:val="36"/>
  </w:num>
  <w:num w:numId="36" w16cid:durableId="1810242603">
    <w:abstractNumId w:val="14"/>
  </w:num>
  <w:num w:numId="37" w16cid:durableId="1341129603">
    <w:abstractNumId w:val="38"/>
  </w:num>
  <w:num w:numId="38" w16cid:durableId="1564099394">
    <w:abstractNumId w:val="38"/>
  </w:num>
  <w:num w:numId="39" w16cid:durableId="348216433">
    <w:abstractNumId w:val="18"/>
  </w:num>
  <w:num w:numId="40" w16cid:durableId="1140073937">
    <w:abstractNumId w:val="20"/>
  </w:num>
  <w:num w:numId="41" w16cid:durableId="1847136968">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A02"/>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A9A"/>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A7DDF"/>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E6E"/>
    <w:rsid w:val="001F2F24"/>
    <w:rsid w:val="001F4025"/>
    <w:rsid w:val="001F4AB1"/>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3F"/>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2CD"/>
    <w:rsid w:val="002338A0"/>
    <w:rsid w:val="00233FF2"/>
    <w:rsid w:val="002341EB"/>
    <w:rsid w:val="0023423A"/>
    <w:rsid w:val="002346E7"/>
    <w:rsid w:val="00235900"/>
    <w:rsid w:val="00235A26"/>
    <w:rsid w:val="00235ADF"/>
    <w:rsid w:val="00235E12"/>
    <w:rsid w:val="00235FEF"/>
    <w:rsid w:val="00240136"/>
    <w:rsid w:val="00240736"/>
    <w:rsid w:val="00240C70"/>
    <w:rsid w:val="0024185D"/>
    <w:rsid w:val="002423DE"/>
    <w:rsid w:val="00242E29"/>
    <w:rsid w:val="00242F54"/>
    <w:rsid w:val="00243017"/>
    <w:rsid w:val="0024305D"/>
    <w:rsid w:val="0024395C"/>
    <w:rsid w:val="00244442"/>
    <w:rsid w:val="0024498F"/>
    <w:rsid w:val="002504F9"/>
    <w:rsid w:val="00250C39"/>
    <w:rsid w:val="00250E25"/>
    <w:rsid w:val="00251EE2"/>
    <w:rsid w:val="00252864"/>
    <w:rsid w:val="00252CE1"/>
    <w:rsid w:val="0025338B"/>
    <w:rsid w:val="0025395A"/>
    <w:rsid w:val="00254313"/>
    <w:rsid w:val="00254CF2"/>
    <w:rsid w:val="0025520A"/>
    <w:rsid w:val="002556AB"/>
    <w:rsid w:val="00255903"/>
    <w:rsid w:val="002568ED"/>
    <w:rsid w:val="0026074B"/>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B"/>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8C"/>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15A0"/>
    <w:rsid w:val="002E1D9A"/>
    <w:rsid w:val="002E254D"/>
    <w:rsid w:val="002E362E"/>
    <w:rsid w:val="002E3C61"/>
    <w:rsid w:val="002E3D87"/>
    <w:rsid w:val="002E5C63"/>
    <w:rsid w:val="002E60C7"/>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2EA"/>
    <w:rsid w:val="003116A8"/>
    <w:rsid w:val="003127DD"/>
    <w:rsid w:val="00312E1C"/>
    <w:rsid w:val="00313EB3"/>
    <w:rsid w:val="00313FC5"/>
    <w:rsid w:val="00315003"/>
    <w:rsid w:val="00315C1E"/>
    <w:rsid w:val="00315D6F"/>
    <w:rsid w:val="00316DC1"/>
    <w:rsid w:val="00320652"/>
    <w:rsid w:val="003213DE"/>
    <w:rsid w:val="00321446"/>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2CF"/>
    <w:rsid w:val="00343BE2"/>
    <w:rsid w:val="00343E90"/>
    <w:rsid w:val="003468AA"/>
    <w:rsid w:val="00346D5D"/>
    <w:rsid w:val="00347C02"/>
    <w:rsid w:val="0035017B"/>
    <w:rsid w:val="00350DF1"/>
    <w:rsid w:val="003524E5"/>
    <w:rsid w:val="00352959"/>
    <w:rsid w:val="00352B5E"/>
    <w:rsid w:val="00352BC7"/>
    <w:rsid w:val="00353F1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4EA"/>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3D14"/>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B7C"/>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321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958"/>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732"/>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67CF0"/>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101B"/>
    <w:rsid w:val="00592474"/>
    <w:rsid w:val="0059286F"/>
    <w:rsid w:val="00592BC7"/>
    <w:rsid w:val="00592F54"/>
    <w:rsid w:val="00593641"/>
    <w:rsid w:val="00593843"/>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C6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3190"/>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0956"/>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64F8"/>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A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6CB1"/>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6D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0E9"/>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0BF"/>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A46"/>
    <w:rsid w:val="00935BC3"/>
    <w:rsid w:val="00937266"/>
    <w:rsid w:val="00940AA9"/>
    <w:rsid w:val="00941264"/>
    <w:rsid w:val="0094296E"/>
    <w:rsid w:val="0094298C"/>
    <w:rsid w:val="009434E1"/>
    <w:rsid w:val="0094553A"/>
    <w:rsid w:val="00946337"/>
    <w:rsid w:val="00947FC1"/>
    <w:rsid w:val="009517E1"/>
    <w:rsid w:val="00951ADB"/>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5791"/>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0B50"/>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7C3"/>
    <w:rsid w:val="00A07888"/>
    <w:rsid w:val="00A07A81"/>
    <w:rsid w:val="00A07E45"/>
    <w:rsid w:val="00A10362"/>
    <w:rsid w:val="00A111D9"/>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35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1F2D"/>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269D"/>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22"/>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3047"/>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D767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AB3"/>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2533"/>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A51"/>
    <w:rsid w:val="00D07FF9"/>
    <w:rsid w:val="00D10EEE"/>
    <w:rsid w:val="00D11F16"/>
    <w:rsid w:val="00D123F7"/>
    <w:rsid w:val="00D1409F"/>
    <w:rsid w:val="00D142F9"/>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2E31"/>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F65"/>
    <w:rsid w:val="00DD70A3"/>
    <w:rsid w:val="00DD743B"/>
    <w:rsid w:val="00DE02C1"/>
    <w:rsid w:val="00DE1C7E"/>
    <w:rsid w:val="00DE1E23"/>
    <w:rsid w:val="00DE219D"/>
    <w:rsid w:val="00DE23E7"/>
    <w:rsid w:val="00DE2E13"/>
    <w:rsid w:val="00DE3856"/>
    <w:rsid w:val="00DE3C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0F9"/>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403"/>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97540"/>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18C"/>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5FF"/>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3F7"/>
    <w:rsid w:val="00F42E4B"/>
    <w:rsid w:val="00F43BA8"/>
    <w:rsid w:val="00F4512B"/>
    <w:rsid w:val="00F461CE"/>
    <w:rsid w:val="00F46256"/>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37FC"/>
    <w:rsid w:val="00F749A8"/>
    <w:rsid w:val="00F74F32"/>
    <w:rsid w:val="00F75C81"/>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CC3"/>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7D2"/>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sharepoint/v4"/>
    <ds:schemaRef ds:uri="http://purl.org/dc/terms/"/>
    <ds:schemaRef ds:uri="http://schemas.microsoft.com/office/2006/documentManagement/types"/>
    <ds:schemaRef ds:uri="http://schemas.openxmlformats.org/package/2006/metadata/core-properties"/>
    <ds:schemaRef ds:uri="eb403b6b-7b96-4fe7-afcc-b3d44ddfb7d8"/>
    <ds:schemaRef ds:uri="http://purl.org/dc/elements/1.1/"/>
    <ds:schemaRef ds:uri="http://schemas.microsoft.com/office/2006/metadata/properties"/>
    <ds:schemaRef ds:uri="7757c461-07c7-44e1-99a5-77c6cc8be59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82657EA6-88CD-4377-B01E-29743C58142E}"/>
</file>

<file path=docProps/app.xml><?xml version="1.0" encoding="utf-8"?>
<Properties xmlns="http://schemas.openxmlformats.org/officeDocument/2006/extended-properties" xmlns:vt="http://schemas.openxmlformats.org/officeDocument/2006/docPropsVTypes">
  <Template>Normal.dotm</Template>
  <TotalTime>3</TotalTime>
  <Pages>2</Pages>
  <Words>349</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PCS Health Systems</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Nubeqa SGM 3147-A</dc:title>
  <dc:subject/>
  <dc:creator>CVS Caremark</dc:creator>
  <cp:keywords/>
  <cp:lastModifiedBy>Huerta, Linda M</cp:lastModifiedBy>
  <cp:revision>5</cp:revision>
  <cp:lastPrinted>2018-01-09T05:01:00Z</cp:lastPrinted>
  <dcterms:created xsi:type="dcterms:W3CDTF">2025-08-07T15:19:00Z</dcterms:created>
  <dcterms:modified xsi:type="dcterms:W3CDTF">2025-08-08T14:49:00Z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Order">
    <vt:r8>1438600</vt:r8>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y fmtid="{D5CDD505-2E9C-101B-9397-08002B2CF9AE}" pid="18" name="_SourceUrl">
    <vt:lpwstr/>
  </property>
  <property fmtid="{D5CDD505-2E9C-101B-9397-08002B2CF9AE}" pid="19" name="_SharedFileIndex">
    <vt:lpwstr/>
  </property>
</Properties>
</file>